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66" w:rsidRPr="00817666" w:rsidRDefault="00817666">
      <w:pPr>
        <w:rPr>
          <w:rFonts w:ascii="Times New Roman" w:hAnsi="Times New Roman" w:cs="Times New Roman"/>
          <w:sz w:val="24"/>
          <w:szCs w:val="24"/>
        </w:rPr>
      </w:pP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Порядок приёмки геологической информации о недрах на постоянное хранение в ФГБУ «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»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ВНИМАНИЕ! Запрещается</w:t>
      </w: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 включать в состав отчета и материалов в бумажном и электронном виде, направляемых в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, </w:t>
      </w: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первичную статистическую отчётность (формы 5-ГР, 6-ГР и др.)</w:t>
      </w: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. В обратном случае, на отчёты и материалы будет выписываться извещение об </w:t>
      </w: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отказе в приеме на хранение.</w:t>
      </w: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 Первичная статистическая отчётность (формы 5-ГР, 6-ГР и др.) должна представляться в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отдельно, в установленном порядке!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Под геологической информацией о недрах понимаются </w:t>
      </w: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информация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о геологическом строении недр, о находящихся в них полезных ископаемых (в том числе о специфических минеральных ресурсах, подземных водах), об условиях их разработки, иных качествах и особенностях недр (в том числе о подземных полостях естественного или искусственного (техногенного) происхождения), данные наблюдений, полученные при осуществлении предусмотренных настоящим Законом видов пользования недрами, при охране недр, </w:t>
      </w: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при использовании отходов добычи полезных ископаемых и связанных с ней перерабатывающих производств, при осуществлении в соответствии с другими федеральными законами видов деятельности, связанных с геологическим изучением и добычей отдельных видов минерального сырья, захоронением радиоактивных отходов и токсичных веществ, и представленные на бумажном или электронном носителе либо на иных материальных носителях (в образцах горных пород, керна, пластовых жидкостей, флюидов и на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иных материальных носителях первичной геологической информации о недрах).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Геологическая информация о недрах подразделяется на первичную геологическую информацию о недрах и интерпретированную геологическую информацию о недрах.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В соответствии со </w:t>
      </w:r>
      <w:hyperlink r:id="rId5" w:history="1">
        <w:r w:rsidRPr="00817666">
          <w:rPr>
            <w:rFonts w:ascii="Times New Roman" w:eastAsia="Times New Roman" w:hAnsi="Times New Roman" w:cs="Times New Roman"/>
            <w:b/>
            <w:bCs/>
            <w:color w:val="0000CC"/>
            <w:sz w:val="24"/>
            <w:szCs w:val="24"/>
          </w:rPr>
          <w:t>ст. 27 Закона РФ «О недрах»</w:t>
        </w:r>
      </w:hyperlink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 первичная геологическая информация о недрах и интерпретированная геологическая информация о недрах, полученные пользователем недр, подлежат представлению пользователем недр в федеральный фонд геологической информации (ФГБУ «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) и его территориальные фонды.</w:t>
      </w:r>
    </w:p>
    <w:p w:rsidR="00817666" w:rsidRPr="00817666" w:rsidRDefault="00817666" w:rsidP="0081766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Предоставлению в ФГБУ «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» в соответствии с </w:t>
      </w:r>
      <w:hyperlink r:id="rId6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приказом Минприроды России от 24.10.2016 № 555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подлежат:</w:t>
      </w:r>
    </w:p>
    <w:p w:rsidR="00817666" w:rsidRPr="00817666" w:rsidRDefault="00817666" w:rsidP="008176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Интерпретированная геологическая информация о недрах:</w:t>
      </w:r>
    </w:p>
    <w:p w:rsidR="00817666" w:rsidRPr="00817666" w:rsidRDefault="00817666" w:rsidP="0081766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Отчёт (в том числе отчёты и материалы по оперативному изменению состояния запасов полезных ископаемых)</w:t>
      </w:r>
    </w:p>
    <w:p w:rsidR="00817666" w:rsidRPr="00817666" w:rsidRDefault="00817666" w:rsidP="0081766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Карточки изученности</w:t>
      </w:r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7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геологическая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8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геофизическая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9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геохимическая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10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гидрогеологическая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11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инженерно-геологическая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12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эколого-геологическая</w:t>
        </w:r>
      </w:hyperlink>
    </w:p>
    <w:p w:rsidR="00817666" w:rsidRPr="00817666" w:rsidRDefault="00817666" w:rsidP="0081766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Карточки буровых скважин на воду:</w:t>
      </w:r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13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учетная карточка буровой скважины на воду</w:t>
        </w:r>
      </w:hyperlink>
    </w:p>
    <w:p w:rsidR="00817666" w:rsidRPr="00817666" w:rsidRDefault="00817666" w:rsidP="0081766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Паспорта Государственного кадастра месторождений (ГКМ)</w:t>
      </w:r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lastRenderedPageBreak/>
        <w:t>форма «А». Месторождения металлических полезных ископаемых. </w:t>
      </w:r>
      <w:hyperlink r:id="rId14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Руководство. </w:t>
        </w:r>
      </w:hyperlink>
      <w:hyperlink r:id="rId15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Бланк.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ф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орма «Б». Месторождения неметаллических полезных ископаемых. </w:t>
      </w:r>
      <w:hyperlink r:id="rId16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Руководство.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</w:t>
      </w:r>
      <w:hyperlink r:id="rId17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Бланк.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ф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орма «В». Россыпные месторождения. </w:t>
      </w:r>
      <w:hyperlink r:id="rId18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Руководство.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</w:t>
      </w:r>
      <w:hyperlink r:id="rId19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Бланк.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ф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орма «Г». Проявления твердых полезных ископаемых. 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fldChar w:fldCharType="begin"/>
      </w: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instrText xml:space="preserve"> HYPERLINK "http://www.rfgf.ru/instrukziy/gkm/instr2002/met-ruk/rukG.doc" </w:instrText>
      </w: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fldChar w:fldCharType="separate"/>
      </w:r>
      <w:r w:rsidRPr="00817666">
        <w:rPr>
          <w:rFonts w:ascii="Times New Roman" w:eastAsia="Times New Roman" w:hAnsi="Times New Roman" w:cs="Times New Roman"/>
          <w:color w:val="0000CC"/>
          <w:sz w:val="24"/>
          <w:szCs w:val="24"/>
        </w:rPr>
        <w:t>Руководство.</w:t>
      </w: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fldChar w:fldCharType="end"/>
      </w:r>
      <w:hyperlink r:id="rId20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Бланк</w:t>
        </w:r>
        <w:proofErr w:type="spellEnd"/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.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ф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орма «Д». Месторождения нефти и газа. </w:t>
      </w:r>
      <w:hyperlink r:id="rId21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Руководство.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</w:t>
      </w:r>
      <w:hyperlink r:id="rId22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Бланк.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ф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орма «Е». Месторождения угля и горючих сланцев. </w:t>
      </w:r>
      <w:hyperlink r:id="rId23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Руководство.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</w:t>
      </w:r>
      <w:hyperlink r:id="rId24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Бланк.</w:t>
        </w:r>
      </w:hyperlink>
    </w:p>
    <w:p w:rsidR="00817666" w:rsidRPr="00817666" w:rsidRDefault="00817666" w:rsidP="00817666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ф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орма «Ж». Месторождения гидроминерального сырья. </w:t>
      </w:r>
      <w:hyperlink r:id="rId25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Руководство.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</w:t>
      </w:r>
      <w:hyperlink r:id="rId26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Бланк.</w:t>
        </w:r>
      </w:hyperlink>
    </w:p>
    <w:p w:rsidR="00817666" w:rsidRPr="00817666" w:rsidRDefault="00817666" w:rsidP="0081766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Базы и банки данных, ГИС-проекты и т.п., и </w:t>
      </w:r>
      <w:hyperlink r:id="rId27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пояснительная записка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к ним </w:t>
      </w:r>
      <w:hyperlink r:id="rId28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(пример заполнения пояснительной записки)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.</w:t>
      </w:r>
    </w:p>
    <w:p w:rsidR="00817666" w:rsidRPr="00817666" w:rsidRDefault="00817666" w:rsidP="0081766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Интерпретированная геологическая информация о недрах представляется в 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как в форме документа на бумажном носителе, так и, ОБЯЗАТЕЛЬНО, в форме электронного документа на электронном носителе.</w:t>
      </w:r>
    </w:p>
    <w:p w:rsidR="00817666" w:rsidRPr="00817666" w:rsidRDefault="00817666" w:rsidP="008176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Первичная геологическая информация о недрах и </w:t>
      </w:r>
      <w:hyperlink r:id="rId29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пояснительная записка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к ней (</w:t>
      </w:r>
      <w:hyperlink r:id="rId30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пример заполнения пояснительной записки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).</w:t>
      </w:r>
    </w:p>
    <w:p w:rsidR="00817666" w:rsidRPr="00817666" w:rsidRDefault="00817666" w:rsidP="00817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Первичная геологическая информация о недрах представляется в 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ТОЛЬКО в форме электронного документа на электронном носителе, а в территориальные фонды геологической информации представляется так же и в форме документа на бумажном носителе. Пояснительная записка к первичной геологической информации о недрах представляется как в бумажном (с подписью и печатью), так и в электронном виде. </w:t>
      </w: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br/>
      </w:r>
      <w:proofErr w:type="gram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Если пользователь недр, являющийся обладателем геологической информации о недрах, желает ограничить доступ к представляемой им в 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информации и относит представляемую информацию к КОММЕРЧЕСКОЙ ТАЙНЕ, то, в соответствии со статьёй 10 Федерального закона от 29.07.2004 г. № 98-ФЗ «О коммерческой тайне», её обладатель должен принять необходимые меры по охране конфиденциальности информации.</w:t>
      </w:r>
      <w:proofErr w:type="gram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</w:t>
      </w:r>
      <w:proofErr w:type="gram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В том числе меры указанные в части 1 пункт 5 упомянутой статьи: «нанесение на материальные носители, содержащие информацию, составляющую коммерческую тайну, или включение в состав реквизитов документов, содержащих такую информацию, грифа "Коммерческая тайна" с указанием обладателя такой информации (для юридических лиц - полное наименование и место нахождения, для индивидуальных предпринимателей - фамилия, имя, отчество гражданина, являющегося индивидуальным предпринимателем, и место жительства)».</w:t>
      </w:r>
      <w:proofErr w:type="gram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Ограничительный гриф «Коммерческая тайна» должен быть проставлен на каждом представленном материальном носителе, содержащим информацию, составляющую коммерческую тайну или в реквизитах каждой единицы представленной геологической информации о недрах (ограничительные грифы бумажной и электронной версий отчёта должны быть одинаковыми). Представленная геологическая информация о недрах (или её часть) в реквизитах которой отсутствует гриф «Коммерческая тайна» не относится к коммерческой тайне, в соответствии с частью 2 статьи 10 Федерального закона от 29.07.2004 г. № 98-ФЗ «О коммерческой тайне»: «Режим коммерческой тайны считается установленным после принятия обладателем информации, составляющей коммерческую тайну, мер, указанных в части 1 статьи 10.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lastRenderedPageBreak/>
        <w:t xml:space="preserve">Геологическая информация о недрах направляется в 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с сопроводительным письмом, в котором необходимо указать, на каких условиях данная геологическая информация о недрах представляется в 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(информация ОБЩЕГО ПОЛЬЗОВАНИЯ или КОММЕРЧЕСКАЯ ТАЙНА) (</w:t>
      </w:r>
      <w:hyperlink r:id="rId31" w:history="1">
        <w:r w:rsidRPr="00817666">
          <w:rPr>
            <w:rFonts w:ascii="Times New Roman" w:eastAsia="Times New Roman" w:hAnsi="Times New Roman" w:cs="Times New Roman"/>
            <w:b/>
            <w:bCs/>
            <w:color w:val="0000CC"/>
            <w:sz w:val="24"/>
            <w:szCs w:val="24"/>
          </w:rPr>
          <w:t>рекомендуемая форма</w:t>
        </w:r>
      </w:hyperlink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, </w:t>
      </w:r>
      <w:hyperlink r:id="rId32" w:history="1">
        <w:r w:rsidRPr="00817666">
          <w:rPr>
            <w:rFonts w:ascii="Times New Roman" w:eastAsia="Times New Roman" w:hAnsi="Times New Roman" w:cs="Times New Roman"/>
            <w:b/>
            <w:bCs/>
            <w:color w:val="0000CC"/>
            <w:sz w:val="24"/>
            <w:szCs w:val="24"/>
          </w:rPr>
          <w:t>рекомендация по оформлению почтовых отправлений</w:t>
        </w:r>
      </w:hyperlink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). Т.к. бумажная и электронная версия отчёта хранятся отдельно друг от друга, то НЕ СЛЕДУЕТ вклеивать карманы или конверты для хранения машинных носителей внутрь книг. Электронная версия отчёта должна обязательно сопровождаться ведомостью МНЗ в бумажном и электронном виде. Отчёт должен быть оформлен и переплетён так, чтобы он выдержал активное архивное хранение в течение 300 лет. Способы оперативной полиграфии заведомо не удовлетворяют этому условию.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В обязанности ФГБУ «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» входит проверка структуры, комплектности поставки и качества оформления поступающей на постоянное хранение геологической информации о недрах в соответствии с действующими нормативными документами:</w:t>
      </w:r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33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Приказ Минприроды России от 29.02.2016 № 54 "Об утверждении требований к содержанию геологической информации о недрах и формы ее представления"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;</w:t>
      </w:r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34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Приказ Минприроды России от 24.10.2016 № 555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"Об утверждении Перечней первичной геологической информации о недрах и интерпретированной геологической информации о недрах, представляемых пользователем недр в федеральный фонд геологической информации и его территориальные фонды, фонды геологической информации субъектов Российской Федерации по видам пользования недрами и видам полезных ископаемых";</w:t>
      </w:r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35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ГОСТ 53579–2009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 - Отчет о геологическом изучении недр - общие требования к содержанию и оформлению;</w:t>
      </w:r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36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Инструкция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 «О государственном учете результатов работ по геологическому изучению недр и о порядке хранения и пользования отчетными геологическими материалами» (утв. приказом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Мингео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СССР от 11.08.76 г.);</w:t>
      </w:r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37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 xml:space="preserve">Письмо </w:t>
        </w:r>
        <w:proofErr w:type="spellStart"/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Роскомнедра</w:t>
        </w:r>
        <w:proofErr w:type="spellEnd"/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 от 21.03.94 г. № ВЩ-61/627 «О представлении в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и ТГФ отчетов по незаконченным работам»;</w:t>
      </w:r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38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Требования 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к составу и оформлению информационных отчетов по незавершенным геологическим заданиям (приложение к письму ФГБУ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от 05.06.02 г. № К-01/343).</w:t>
      </w:r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39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Карточки изученности</w:t>
        </w:r>
      </w:hyperlink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Карточки буровых скважин на воду: </w:t>
      </w:r>
      <w:hyperlink r:id="rId40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Инструкция по составлению и пополнению кадастра подземных вод от 28.12.1964 г.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; </w:t>
      </w:r>
      <w:hyperlink r:id="rId41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Приказ Министерства геологии СССР № 281 от 02.06.1986 г.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; </w:t>
      </w:r>
      <w:hyperlink r:id="rId42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Приказ Минприроды России № 168 от 25.06.2009 г.</w:t>
        </w:r>
      </w:hyperlink>
    </w:p>
    <w:p w:rsidR="00817666" w:rsidRPr="00817666" w:rsidRDefault="00817666" w:rsidP="008176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hyperlink r:id="rId43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Паспорта Государственного кадастра месторождений (ГКМ)</w:t>
        </w:r>
      </w:hyperlink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Намерение </w:t>
      </w:r>
      <w:proofErr w:type="spellStart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недропользователя</w:t>
      </w:r>
      <w:proofErr w:type="spellEnd"/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 xml:space="preserve"> продолжать геологоразведочные работы на том же участке не делает отчёт по завершённому этапу «промежуточным» или «информационным» и не отменяет обязательное представление полноценного отчёта о результатах проведённых работ.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При прекращении действия лицензии вне зависимости от причин этого или при прекращении или резком сокращении финансирования работ по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госконтракту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представлению подлежат информационные геологические отчеты по незавершенным геологическим заданиям.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Данные об отчетах вносятся в автоматизированную базу данных </w:t>
      </w:r>
      <w:hyperlink r:id="rId44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Электронный каталог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lastRenderedPageBreak/>
        <w:t>По результатам рассмотрения отчёта в адрес той организации, на бланке которой было написано сопроводительное письмо к отчёту, высылается извещение установленной формы о принятии на постоянное хранение отчета, оформленного в соответствии с действующими нормативными документами, а на отчеты с замечаниями по комплектности, качеству оформления – извещение об отказе в принятии.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Поставщик отчёта обязан исправить все обоснованные нормативными документами замечания приёмочной комиссии. Мелкие замечания исправляются силами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Росгеолфонда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на основании досылок недостающих или дефектных страниц текста или листов графики отчёта, многочисленные замечания могут потребовать замены соответствующей единицы хранения отчёта и всего машинного носителя.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Досылки недостающих или подлежащих замене структурных элементов отчёта высылаются почтой и адресуются, как и сам отчёт, руководству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Росгеолфонда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. Не рекомендуется вкладывать досылки в пакеты с другими документами.</w:t>
      </w:r>
    </w:p>
    <w:p w:rsidR="00817666" w:rsidRPr="00817666" w:rsidRDefault="00817666" w:rsidP="0081766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При подготовке машиночитаемых версий отчетов о геологическом изучении недр можно использовать программу </w:t>
      </w:r>
      <w:hyperlink r:id="rId45" w:tgtFrame="_blank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Редактор машиночитаемого геологического отчета.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 С помощью этой программы традиционная машиночитаемая версия дополняется XML-описанием по принятому стандарту (ГОСТ </w:t>
      </w:r>
      <w:proofErr w:type="gram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</w:t>
      </w:r>
      <w:proofErr w:type="gram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53579-2009 и соответствующий файл XSD). Применение редактора обеспечивает:</w:t>
      </w:r>
    </w:p>
    <w:p w:rsidR="00817666" w:rsidRPr="00817666" w:rsidRDefault="00817666" w:rsidP="0081766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автоматизированный контроль соответствия отчетов требованиям </w:t>
      </w:r>
      <w:hyperlink r:id="rId46" w:history="1">
        <w:r w:rsidRPr="00817666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>ГОСТ 53579–2009</w:t>
        </w:r>
      </w:hyperlink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;</w:t>
      </w:r>
    </w:p>
    <w:p w:rsidR="00817666" w:rsidRPr="00817666" w:rsidRDefault="00817666" w:rsidP="0081766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возможность просмотра отчета на компьютере по ссылкам из пунктов сводного содержания и списков иллюстраций и таблиц;</w:t>
      </w:r>
    </w:p>
    <w:p w:rsidR="00817666" w:rsidRPr="00817666" w:rsidRDefault="00817666" w:rsidP="0081766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возможность автоматизированного формирования печатной версии отчета.</w:t>
      </w:r>
    </w:p>
    <w:p w:rsidR="00817666" w:rsidRPr="00817666" w:rsidRDefault="00817666" w:rsidP="0081766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b/>
          <w:bCs/>
          <w:color w:val="030D58"/>
          <w:sz w:val="24"/>
          <w:szCs w:val="24"/>
        </w:rPr>
        <w:t>Телефоны для справок:</w:t>
      </w:r>
    </w:p>
    <w:p w:rsidR="00817666" w:rsidRPr="00817666" w:rsidRDefault="00817666" w:rsidP="008176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Информация о поступлении отчёта в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Росгеолфонд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– 8(499) 259 66 86 (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Балакирева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Татьяна Евгеньевна);</w:t>
      </w:r>
    </w:p>
    <w:p w:rsidR="00817666" w:rsidRPr="00817666" w:rsidRDefault="00817666" w:rsidP="008176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Консультация по бумажной версии отчёта – 8(499) 259 54 84 (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Жидкина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Алла Евгеньевна);</w:t>
      </w:r>
    </w:p>
    <w:p w:rsidR="00817666" w:rsidRPr="00817666" w:rsidRDefault="00817666" w:rsidP="008176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Консультация по электронной версии отчёта и ведомостям МНЗ – 8(499) 256 69 24 (Ермакова Елена Евгеньевна);</w:t>
      </w:r>
    </w:p>
    <w:p w:rsidR="00817666" w:rsidRPr="00817666" w:rsidRDefault="00817666" w:rsidP="008176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Консультации по первичной геологической информации – 8 (499) 259 74 64 (Линьков Дмитрий Валерьевич);</w:t>
      </w:r>
    </w:p>
    <w:p w:rsidR="00817666" w:rsidRPr="00817666" w:rsidRDefault="00817666" w:rsidP="008176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Вопросы по Извещениям – 8(499) 259 63 40 (Ивлева Тамара Георгиевна);</w:t>
      </w:r>
    </w:p>
    <w:p w:rsidR="00817666" w:rsidRPr="00817666" w:rsidRDefault="00817666" w:rsidP="008176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Вопросы по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досыльным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материалам – 8(499) 259 63 40 (Аверьянова Людмила Егоровна);</w:t>
      </w:r>
    </w:p>
    <w:p w:rsidR="00817666" w:rsidRPr="00817666" w:rsidRDefault="00817666" w:rsidP="008176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30D58"/>
          <w:sz w:val="24"/>
          <w:szCs w:val="24"/>
        </w:rPr>
      </w:pPr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Официальные справки об отсутствии задолженности организаций по предоставлению геологической информации – 8(499) 256 68 06 (Мерецкова Татьяна Фёдоровна) или 8(499) 259 74 64 (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Касимова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</w:t>
      </w:r>
      <w:proofErr w:type="spellStart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>Залина</w:t>
      </w:r>
      <w:proofErr w:type="spellEnd"/>
      <w:r w:rsidRPr="00817666">
        <w:rPr>
          <w:rFonts w:ascii="Times New Roman" w:eastAsia="Times New Roman" w:hAnsi="Times New Roman" w:cs="Times New Roman"/>
          <w:color w:val="030D58"/>
          <w:sz w:val="24"/>
          <w:szCs w:val="24"/>
        </w:rPr>
        <w:t xml:space="preserve"> Магомедовна).</w:t>
      </w:r>
    </w:p>
    <w:p w:rsidR="00CD1598" w:rsidRPr="00817666" w:rsidRDefault="00CD1598" w:rsidP="00817666">
      <w:pPr>
        <w:rPr>
          <w:rFonts w:ascii="Times New Roman" w:hAnsi="Times New Roman" w:cs="Times New Roman"/>
          <w:sz w:val="24"/>
          <w:szCs w:val="24"/>
        </w:rPr>
      </w:pPr>
    </w:p>
    <w:sectPr w:rsidR="00CD1598" w:rsidRPr="00817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5B4"/>
    <w:multiLevelType w:val="multilevel"/>
    <w:tmpl w:val="6D00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2E2283"/>
    <w:multiLevelType w:val="multilevel"/>
    <w:tmpl w:val="4E20B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99C2246"/>
    <w:multiLevelType w:val="multilevel"/>
    <w:tmpl w:val="1DEAF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0B20B5"/>
    <w:multiLevelType w:val="multilevel"/>
    <w:tmpl w:val="06B4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7666"/>
    <w:rsid w:val="00817666"/>
    <w:rsid w:val="00CD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7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7666"/>
    <w:rPr>
      <w:b/>
      <w:bCs/>
    </w:rPr>
  </w:style>
  <w:style w:type="character" w:styleId="a5">
    <w:name w:val="Hyperlink"/>
    <w:basedOn w:val="a0"/>
    <w:uiPriority w:val="99"/>
    <w:semiHidden/>
    <w:unhideWhenUsed/>
    <w:rsid w:val="008176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fgf.ru/dokumenty/fondohranilishe/geolfis.doc" TargetMode="External"/><Relationship Id="rId13" Type="http://schemas.openxmlformats.org/officeDocument/2006/relationships/hyperlink" Target="http://www.rfgf.ru/dokumenty/fondohranilishe/bur%20water.rtf" TargetMode="External"/><Relationship Id="rId18" Type="http://schemas.openxmlformats.org/officeDocument/2006/relationships/hyperlink" Target="http://www.rfgf.ru/instrukziy/gkm/instr2002/met-ruk/rukV.doc" TargetMode="External"/><Relationship Id="rId26" Type="http://schemas.openxmlformats.org/officeDocument/2006/relationships/hyperlink" Target="http://www.rfgf.ru/dokumenty/gkm/GKM(J).xls" TargetMode="External"/><Relationship Id="rId39" Type="http://schemas.openxmlformats.org/officeDocument/2006/relationships/hyperlink" Target="http://www.rfgf.ru/4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fgf.ru/instrukziy/gkm/instr2002/met-ruk/rukD.doc" TargetMode="External"/><Relationship Id="rId34" Type="http://schemas.openxmlformats.org/officeDocument/2006/relationships/hyperlink" Target="http://www.rfgf.ru/dokumenty/fondohranilishe/Prikaz%20MPR%20N%20555.pdf" TargetMode="External"/><Relationship Id="rId42" Type="http://schemas.openxmlformats.org/officeDocument/2006/relationships/hyperlink" Target="http://www.rfgf.ru/bur/docs/prik_25062009.doc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rfgf.ru/dokumenty/fondohranilishe/geol.doc" TargetMode="External"/><Relationship Id="rId12" Type="http://schemas.openxmlformats.org/officeDocument/2006/relationships/hyperlink" Target="http://www.rfgf.ru/dokumenty/fondohranilishe/ekol.doc" TargetMode="External"/><Relationship Id="rId17" Type="http://schemas.openxmlformats.org/officeDocument/2006/relationships/hyperlink" Target="http://www.rfgf.ru/dokumenty/gkm/GKM(B).xls" TargetMode="External"/><Relationship Id="rId25" Type="http://schemas.openxmlformats.org/officeDocument/2006/relationships/hyperlink" Target="http://www.rfgf.ru/instrukziy/gkm/instr2002/met-ruk/rukJ.doc" TargetMode="External"/><Relationship Id="rId33" Type="http://schemas.openxmlformats.org/officeDocument/2006/relationships/hyperlink" Target="http://www.rfgf.ru/dokumenty/fondohranilishe/Prikaz%20MPR%20N54%2029.02.2016.rtf" TargetMode="External"/><Relationship Id="rId38" Type="http://schemas.openxmlformats.org/officeDocument/2006/relationships/hyperlink" Target="http://www.rfgf.ru/dokumenty/fondohranilishe/5.2.4%20Trebovaniya.doc" TargetMode="External"/><Relationship Id="rId46" Type="http://schemas.openxmlformats.org/officeDocument/2006/relationships/hyperlink" Target="http://www.rfgf.ru/dokumenty/fondohranilishe/GOST53579_200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fgf.ru/instrukziy/gkm/instr2002/met-ruk/rukB.doc" TargetMode="External"/><Relationship Id="rId20" Type="http://schemas.openxmlformats.org/officeDocument/2006/relationships/hyperlink" Target="http://www.rfgf.ru/dokumenty/gkm/GKM(G).xls" TargetMode="External"/><Relationship Id="rId29" Type="http://schemas.openxmlformats.org/officeDocument/2006/relationships/hyperlink" Target="http://www.rfgf.ru/dokumenty/fondohranilishe/PZpervi4.xlsx" TargetMode="External"/><Relationship Id="rId41" Type="http://schemas.openxmlformats.org/officeDocument/2006/relationships/hyperlink" Target="http://www.rfgf.ru/bur/docs/prik_281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fgf.ru/dokumenty/fondohranilishe/Prikaz%20MPR%20N%20555.pdf" TargetMode="External"/><Relationship Id="rId11" Type="http://schemas.openxmlformats.org/officeDocument/2006/relationships/hyperlink" Target="http://www.rfgf.ru/dokumenty/fondohranilishe/ingener.doc" TargetMode="External"/><Relationship Id="rId24" Type="http://schemas.openxmlformats.org/officeDocument/2006/relationships/hyperlink" Target="http://www.rfgf.ru/dokumenty/gkm/GKM(E).xls" TargetMode="External"/><Relationship Id="rId32" Type="http://schemas.openxmlformats.org/officeDocument/2006/relationships/hyperlink" Target="http://www.rfgf.ru/dokumenty/fondohranilishe/Rekomend%20Post.docx" TargetMode="External"/><Relationship Id="rId37" Type="http://schemas.openxmlformats.org/officeDocument/2006/relationships/hyperlink" Target="http://www.rfgf.ru/dokumenty/fondohranilishe/5.2.3.Pismo%20Roskomnedr.doc" TargetMode="External"/><Relationship Id="rId40" Type="http://schemas.openxmlformats.org/officeDocument/2006/relationships/hyperlink" Target="http://www.rfgf.ru/bur/docs/kadastr.doc" TargetMode="External"/><Relationship Id="rId45" Type="http://schemas.openxmlformats.org/officeDocument/2006/relationships/hyperlink" Target="http://geol.irk.ru/downloads/editor/about.html" TargetMode="External"/><Relationship Id="rId5" Type="http://schemas.openxmlformats.org/officeDocument/2006/relationships/hyperlink" Target="http://www.rfgf.ru/dokumenty/fondohranilishe/27_FZ%20o%20Nedrah.docx" TargetMode="External"/><Relationship Id="rId15" Type="http://schemas.openxmlformats.org/officeDocument/2006/relationships/hyperlink" Target="http://www.rfgf.ru/dokumenty/gkm/GKM(A).xls" TargetMode="External"/><Relationship Id="rId23" Type="http://schemas.openxmlformats.org/officeDocument/2006/relationships/hyperlink" Target="http://www.rfgf.ru/instrukziy/gkm/instr2002/met-ruk/rukE.doc" TargetMode="External"/><Relationship Id="rId28" Type="http://schemas.openxmlformats.org/officeDocument/2006/relationships/hyperlink" Target="http://www.rfgf.ru/dokumenty/gbcgi/Primer%20CIGI.docx" TargetMode="External"/><Relationship Id="rId36" Type="http://schemas.openxmlformats.org/officeDocument/2006/relationships/hyperlink" Target="http://www.rfgf.ru/dokumenty/fondohranilishe/5.2.2%20Instruczia.doc" TargetMode="External"/><Relationship Id="rId10" Type="http://schemas.openxmlformats.org/officeDocument/2006/relationships/hyperlink" Target="http://www.rfgf.ru/dokumenty/fondohranilishe/gidrogeo.doc" TargetMode="External"/><Relationship Id="rId19" Type="http://schemas.openxmlformats.org/officeDocument/2006/relationships/hyperlink" Target="http://www.rfgf.ru/dokumenty/gkm/GKM(V).xls" TargetMode="External"/><Relationship Id="rId31" Type="http://schemas.openxmlformats.org/officeDocument/2006/relationships/hyperlink" Target="http://www.rfgf.ru/dokumenty/fondohranilishe/Form%20Soprovodit.docx" TargetMode="External"/><Relationship Id="rId44" Type="http://schemas.openxmlformats.org/officeDocument/2006/relationships/hyperlink" Target="http://www.rfgf.ru/catalog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fgf.ru/dokumenty/fondohranilishe/geohim.doc" TargetMode="External"/><Relationship Id="rId14" Type="http://schemas.openxmlformats.org/officeDocument/2006/relationships/hyperlink" Target="http://www.rfgf.ru/instrukziy/gkm/instr2002/met-ruk/rukA.doc" TargetMode="External"/><Relationship Id="rId22" Type="http://schemas.openxmlformats.org/officeDocument/2006/relationships/hyperlink" Target="http://www.rfgf.ru/dokumenty/gkm/GKM(D).xls" TargetMode="External"/><Relationship Id="rId27" Type="http://schemas.openxmlformats.org/officeDocument/2006/relationships/hyperlink" Target="http://www.rfgf.ru/dokumenty/gbcgi/Form%20CIGI.xlsx" TargetMode="External"/><Relationship Id="rId30" Type="http://schemas.openxmlformats.org/officeDocument/2006/relationships/hyperlink" Target="http://www.rfgf.ru/dokumenty/fondohranilishe/PZpervi4Primer.xlsx" TargetMode="External"/><Relationship Id="rId35" Type="http://schemas.openxmlformats.org/officeDocument/2006/relationships/hyperlink" Target="http://www.rfgf.ru/dokumenty/fondohranilishe/GOST53579_2009.pdf" TargetMode="External"/><Relationship Id="rId43" Type="http://schemas.openxmlformats.org/officeDocument/2006/relationships/hyperlink" Target="http://www.rfgf.ru/4.htm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2082</Words>
  <Characters>11874</Characters>
  <Application>Microsoft Office Word</Application>
  <DocSecurity>0</DocSecurity>
  <Lines>98</Lines>
  <Paragraphs>27</Paragraphs>
  <ScaleCrop>false</ScaleCrop>
  <Company/>
  <LinksUpToDate>false</LinksUpToDate>
  <CharactersWithSpaces>13929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OGiH-10</dc:creator>
  <cp:keywords/>
  <dc:description/>
  <cp:lastModifiedBy>OGiH-10</cp:lastModifiedBy>
  <cp:revision>3</cp:revision>
  <dcterms:created xsi:type="dcterms:W3CDTF">2018-04-19T22:18:00Z</dcterms:created>
  <dcterms:modified xsi:type="dcterms:W3CDTF">2018-04-19T22:24:00Z</dcterms:modified>
</cp:coreProperties>
</file>